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0C23B3AA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50B0447E" w:rsidR="009F7DD6" w:rsidRPr="009F7DD6" w:rsidRDefault="00B03529">
      <w:pPr>
        <w:rPr>
          <w:rFonts w:ascii="Arial" w:hAnsi="Arial" w:cs="Arial"/>
        </w:rPr>
      </w:pPr>
      <w:r w:rsidRPr="00B03529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0940D418" wp14:editId="26BE0A06">
            <wp:simplePos x="0" y="0"/>
            <wp:positionH relativeFrom="page">
              <wp:align>center</wp:align>
            </wp:positionH>
            <wp:positionV relativeFrom="paragraph">
              <wp:posOffset>6800215</wp:posOffset>
            </wp:positionV>
            <wp:extent cx="5940425" cy="1875790"/>
            <wp:effectExtent l="0" t="0" r="3175" b="0"/>
            <wp:wrapTight wrapText="bothSides">
              <wp:wrapPolygon edited="0">
                <wp:start x="0" y="0"/>
                <wp:lineTo x="0" y="21278"/>
                <wp:lineTo x="21542" y="21278"/>
                <wp:lineTo x="21542" y="0"/>
                <wp:lineTo x="0" y="0"/>
              </wp:wrapPolygon>
            </wp:wrapTight>
            <wp:docPr id="153415332" name="Obrázek 1" descr="Obsah obrázku text, snímek obrazovky, účtenka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15332" name="Obrázek 1" descr="Obsah obrázku text, snímek obrazovky, účtenka, Písmo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475"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43838AD2" w14:textId="5B2A5292" w:rsidR="00CD54F9" w:rsidRPr="00B31586" w:rsidRDefault="00CD54F9" w:rsidP="00CD54F9">
      <w:pPr>
        <w:autoSpaceDE w:val="0"/>
      </w:pPr>
      <w:r w:rsidRPr="00D03FE2">
        <w:rPr>
          <w:rFonts w:ascii="Arial" w:hAnsi="Arial" w:cs="Arial"/>
          <w:color w:val="000000"/>
          <w:sz w:val="19"/>
          <w:szCs w:val="19"/>
        </w:rPr>
        <w:t xml:space="preserve">„Rekonstrukce chodníků </w:t>
      </w:r>
      <w:proofErr w:type="gramStart"/>
      <w:r w:rsidRPr="00D03FE2">
        <w:rPr>
          <w:rFonts w:ascii="Arial" w:hAnsi="Arial" w:cs="Arial"/>
          <w:color w:val="000000"/>
          <w:sz w:val="19"/>
          <w:szCs w:val="19"/>
        </w:rPr>
        <w:t>Jablunkov - centrum</w:t>
      </w:r>
      <w:proofErr w:type="gramEnd"/>
      <w:r w:rsidRPr="00D03FE2">
        <w:rPr>
          <w:rFonts w:ascii="Arial" w:hAnsi="Arial" w:cs="Arial"/>
          <w:color w:val="000000"/>
          <w:sz w:val="19"/>
          <w:szCs w:val="19"/>
        </w:rPr>
        <w:t xml:space="preserve"> "</w:t>
      </w:r>
      <w:r>
        <w:rPr>
          <w:rFonts w:ascii="Arial" w:hAnsi="Arial" w:cs="Arial"/>
          <w:color w:val="000000"/>
          <w:sz w:val="19"/>
          <w:szCs w:val="19"/>
        </w:rPr>
        <w:t xml:space="preserve"> – SO 10</w:t>
      </w:r>
      <w:r w:rsidR="003E69D2">
        <w:rPr>
          <w:rFonts w:ascii="Arial" w:hAnsi="Arial" w:cs="Arial"/>
          <w:color w:val="000000"/>
          <w:sz w:val="19"/>
          <w:szCs w:val="19"/>
        </w:rPr>
        <w:t>6</w:t>
      </w:r>
      <w:r>
        <w:rPr>
          <w:rFonts w:ascii="Arial" w:hAnsi="Arial" w:cs="Arial"/>
          <w:color w:val="000000"/>
          <w:sz w:val="19"/>
          <w:szCs w:val="19"/>
        </w:rPr>
        <w:t xml:space="preserve"> Ulice </w:t>
      </w:r>
      <w:r w:rsidR="003E69D2">
        <w:rPr>
          <w:rFonts w:ascii="Arial" w:hAnsi="Arial" w:cs="Arial"/>
          <w:color w:val="000000"/>
          <w:sz w:val="19"/>
          <w:szCs w:val="19"/>
        </w:rPr>
        <w:t>Lipová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3E4A2CFF" w:rsidR="00445EB5" w:rsidRPr="009F7DD6" w:rsidRDefault="00CA7E51" w:rsidP="00A5112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1127" w:rsidRPr="00A51127">
        <w:rPr>
          <w:rFonts w:ascii="Arial" w:hAnsi="Arial" w:cs="Arial"/>
          <w:color w:val="000000"/>
          <w:sz w:val="19"/>
          <w:szCs w:val="19"/>
        </w:rPr>
        <w:t>492/</w:t>
      </w:r>
      <w:r w:rsidR="003E69D2">
        <w:rPr>
          <w:rFonts w:ascii="Arial" w:hAnsi="Arial" w:cs="Arial"/>
          <w:color w:val="000000"/>
          <w:sz w:val="19"/>
          <w:szCs w:val="19"/>
        </w:rPr>
        <w:t>1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79FD24D8" w14:textId="77777777" w:rsidR="003E69D2" w:rsidRDefault="003E69D2" w:rsidP="003E69D2">
      <w:pPr>
        <w:pStyle w:val="Standard"/>
      </w:pPr>
      <w:r>
        <w:rPr>
          <w:rFonts w:ascii="Arial" w:hAnsi="Arial" w:cs="Arial"/>
          <w:b/>
          <w:bCs/>
          <w:u w:val="single"/>
        </w:rPr>
        <w:t>SO 106 Ulice Lipová</w:t>
      </w:r>
    </w:p>
    <w:p w14:paraId="1E8D91D9" w14:textId="5B72077F" w:rsidR="00D03FE2" w:rsidRPr="009F7DD6" w:rsidRDefault="003E69D2" w:rsidP="003E69D2">
      <w:pPr>
        <w:rPr>
          <w:rFonts w:ascii="Arial" w:hAnsi="Arial" w:cs="Arial"/>
        </w:rPr>
      </w:pPr>
      <w:r>
        <w:rPr>
          <w:rFonts w:ascii="Arial" w:eastAsia="Arial" w:hAnsi="Arial" w:cs="Arial"/>
          <w:szCs w:val="20"/>
        </w:rPr>
        <w:t xml:space="preserve">Celková délka úprav v této ulice je </w:t>
      </w:r>
      <w:proofErr w:type="gramStart"/>
      <w:r>
        <w:rPr>
          <w:rFonts w:ascii="Arial" w:eastAsia="Arial" w:hAnsi="Arial" w:cs="Arial"/>
          <w:szCs w:val="20"/>
        </w:rPr>
        <w:t>52m</w:t>
      </w:r>
      <w:proofErr w:type="gramEnd"/>
      <w:r>
        <w:rPr>
          <w:rFonts w:ascii="Arial" w:eastAsia="Arial" w:hAnsi="Arial" w:cs="Arial"/>
          <w:szCs w:val="20"/>
        </w:rPr>
        <w:t xml:space="preserve">. Po levé straně od ulice Školní bude v délce </w:t>
      </w:r>
      <w:proofErr w:type="gramStart"/>
      <w:r>
        <w:rPr>
          <w:rFonts w:ascii="Arial" w:eastAsia="Arial" w:hAnsi="Arial" w:cs="Arial"/>
          <w:szCs w:val="20"/>
        </w:rPr>
        <w:t>52m</w:t>
      </w:r>
      <w:proofErr w:type="gramEnd"/>
      <w:r>
        <w:rPr>
          <w:rFonts w:ascii="Arial" w:eastAsia="Arial" w:hAnsi="Arial" w:cs="Arial"/>
          <w:szCs w:val="20"/>
        </w:rPr>
        <w:t xml:space="preserve"> přidán chodník o šíře 1,50. Komunikace bude 2,75m široká. Po pravé straně komunikace dojde k vybudování pásu šíře 0,45 s kačírkem. Tento pruh je zde, aby nedošlo k poškození betonové zídky nad ním.</w:t>
      </w:r>
      <w:r>
        <w:rPr>
          <w:rFonts w:ascii="Arial" w:eastAsia="Arial" w:hAnsi="Arial" w:cs="Arial"/>
          <w:szCs w:val="20"/>
        </w:rPr>
        <w:t xml:space="preserve"> Nově bude komunikace v délce </w:t>
      </w:r>
      <w:proofErr w:type="gramStart"/>
      <w:r>
        <w:rPr>
          <w:rFonts w:ascii="Arial" w:eastAsia="Arial" w:hAnsi="Arial" w:cs="Arial"/>
          <w:szCs w:val="20"/>
        </w:rPr>
        <w:t>70m</w:t>
      </w:r>
      <w:proofErr w:type="gramEnd"/>
      <w:r>
        <w:rPr>
          <w:rFonts w:ascii="Arial" w:eastAsia="Arial" w:hAnsi="Arial" w:cs="Arial"/>
          <w:szCs w:val="20"/>
        </w:rPr>
        <w:t xml:space="preserve"> jednosměrná. 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vyhodnocení průzkumů a podkladů, včetně jejich užití v </w:t>
      </w:r>
      <w:proofErr w:type="gramStart"/>
      <w:r w:rsidRPr="009F7DD6">
        <w:rPr>
          <w:rFonts w:ascii="Arial" w:hAnsi="Arial" w:cs="Arial"/>
        </w:rPr>
        <w:t>dokumentaci - dopravní</w:t>
      </w:r>
      <w:proofErr w:type="gramEnd"/>
      <w:r w:rsidRPr="009F7DD6">
        <w:rPr>
          <w:rFonts w:ascii="Arial" w:hAnsi="Arial" w:cs="Arial"/>
        </w:rPr>
        <w:t xml:space="preserve">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>- geodetické zaměření</w:t>
      </w: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</w:t>
      </w:r>
      <w:proofErr w:type="spellStart"/>
      <w:r w:rsidR="00445EB5" w:rsidRPr="009F7DD6">
        <w:rPr>
          <w:rFonts w:ascii="Arial" w:hAnsi="Arial" w:cs="Arial"/>
          <w:szCs w:val="20"/>
        </w:rPr>
        <w:t>inženýrsko</w:t>
      </w:r>
      <w:proofErr w:type="spellEnd"/>
      <w:r w:rsidR="00445EB5" w:rsidRPr="009F7DD6">
        <w:rPr>
          <w:rFonts w:ascii="Arial" w:hAnsi="Arial" w:cs="Arial"/>
          <w:szCs w:val="20"/>
        </w:rPr>
        <w:t xml:space="preserve">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lastRenderedPageBreak/>
        <w:t xml:space="preserve">Nebyl proveden, jedná se o </w:t>
      </w:r>
      <w:r w:rsidR="00CA7E51">
        <w:rPr>
          <w:rFonts w:ascii="Arial" w:hAnsi="Arial" w:cs="Arial"/>
          <w:szCs w:val="20"/>
        </w:rPr>
        <w:t xml:space="preserve">rekonstrukci stávající vozovky v tl. </w:t>
      </w:r>
      <w:proofErr w:type="gramStart"/>
      <w:r w:rsidR="00CA7E51">
        <w:rPr>
          <w:rFonts w:ascii="Arial" w:hAnsi="Arial" w:cs="Arial"/>
          <w:szCs w:val="20"/>
        </w:rPr>
        <w:t>100mm</w:t>
      </w:r>
      <w:proofErr w:type="gramEnd"/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1F8E11BE" w14:textId="77777777" w:rsidR="003E69D2" w:rsidRDefault="003E69D2" w:rsidP="003E69D2">
      <w:pPr>
        <w:pStyle w:val="Standard"/>
      </w:pPr>
      <w:r>
        <w:rPr>
          <w:rFonts w:ascii="Arial" w:hAnsi="Arial" w:cs="Arial"/>
          <w:b/>
          <w:bCs/>
          <w:u w:val="single"/>
        </w:rPr>
        <w:t>SO 106 Ulice Lipová</w:t>
      </w:r>
    </w:p>
    <w:p w14:paraId="5B38BC7B" w14:textId="284B72C0" w:rsidR="00445EB5" w:rsidRPr="009F7DD6" w:rsidRDefault="003E69D2" w:rsidP="003E69D2">
      <w:pPr>
        <w:pStyle w:val="Textbody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Celková délka úprav v této ulice je </w:t>
      </w:r>
      <w:proofErr w:type="gramStart"/>
      <w:r>
        <w:rPr>
          <w:rFonts w:ascii="Arial" w:eastAsia="Arial" w:hAnsi="Arial" w:cs="Arial"/>
        </w:rPr>
        <w:t>52m</w:t>
      </w:r>
      <w:proofErr w:type="gramEnd"/>
      <w:r>
        <w:rPr>
          <w:rFonts w:ascii="Arial" w:eastAsia="Arial" w:hAnsi="Arial" w:cs="Arial"/>
        </w:rPr>
        <w:t xml:space="preserve">. Po levé straně od ulice Školní bude v délce </w:t>
      </w:r>
      <w:proofErr w:type="gramStart"/>
      <w:r>
        <w:rPr>
          <w:rFonts w:ascii="Arial" w:eastAsia="Arial" w:hAnsi="Arial" w:cs="Arial"/>
        </w:rPr>
        <w:t>52m</w:t>
      </w:r>
      <w:proofErr w:type="gramEnd"/>
      <w:r>
        <w:rPr>
          <w:rFonts w:ascii="Arial" w:eastAsia="Arial" w:hAnsi="Arial" w:cs="Arial"/>
        </w:rPr>
        <w:t xml:space="preserve"> přidán chodník o šíře 1,50. Komunikace bude 2,75m široká. Po pravé straně komunikace dojde k vybudování pásu šíře 0,45 s kačírkem. Tento pruh je zde, aby nedošlo k poškození betonové zídky nad ním. Nově bude komunikace v délce </w:t>
      </w:r>
      <w:proofErr w:type="gramStart"/>
      <w:r>
        <w:rPr>
          <w:rFonts w:ascii="Arial" w:eastAsia="Arial" w:hAnsi="Arial" w:cs="Arial"/>
        </w:rPr>
        <w:t>70m</w:t>
      </w:r>
      <w:proofErr w:type="gramEnd"/>
      <w:r>
        <w:rPr>
          <w:rFonts w:ascii="Arial" w:eastAsia="Arial" w:hAnsi="Arial" w:cs="Arial"/>
        </w:rPr>
        <w:t xml:space="preserve"> jednosměrná</w:t>
      </w:r>
      <w:r w:rsidR="00A51127">
        <w:rPr>
          <w:rFonts w:ascii="Arial" w:hAnsi="Arial" w:cs="Arial"/>
        </w:rPr>
        <w:t>.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48E69317" w14:textId="77777777" w:rsidR="003E69D2" w:rsidRDefault="003E69D2" w:rsidP="003E69D2">
      <w:pPr>
        <w:pStyle w:val="Standard"/>
      </w:pPr>
      <w:r>
        <w:rPr>
          <w:rFonts w:ascii="Arial" w:hAnsi="Arial" w:cs="Arial"/>
          <w:b/>
          <w:bCs/>
          <w:u w:val="single"/>
        </w:rPr>
        <w:t>SO 106 Ulice Lipová</w:t>
      </w:r>
    </w:p>
    <w:p w14:paraId="50A5ADB9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</w:rPr>
      </w:pPr>
    </w:p>
    <w:p w14:paraId="7F068046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Celková délka úprav v této ulice je </w:t>
      </w:r>
      <w:proofErr w:type="gramStart"/>
      <w:r>
        <w:rPr>
          <w:rFonts w:ascii="Arial" w:eastAsia="Arial" w:hAnsi="Arial" w:cs="Arial"/>
          <w:szCs w:val="20"/>
        </w:rPr>
        <w:t>52m</w:t>
      </w:r>
      <w:proofErr w:type="gramEnd"/>
      <w:r>
        <w:rPr>
          <w:rFonts w:ascii="Arial" w:eastAsia="Arial" w:hAnsi="Arial" w:cs="Arial"/>
          <w:szCs w:val="20"/>
        </w:rPr>
        <w:t xml:space="preserve">. Po levé straně od ulice Školní bude v délce </w:t>
      </w:r>
      <w:proofErr w:type="gramStart"/>
      <w:r>
        <w:rPr>
          <w:rFonts w:ascii="Arial" w:eastAsia="Arial" w:hAnsi="Arial" w:cs="Arial"/>
          <w:szCs w:val="20"/>
        </w:rPr>
        <w:t>52m</w:t>
      </w:r>
      <w:proofErr w:type="gramEnd"/>
      <w:r>
        <w:rPr>
          <w:rFonts w:ascii="Arial" w:eastAsia="Arial" w:hAnsi="Arial" w:cs="Arial"/>
          <w:szCs w:val="20"/>
        </w:rPr>
        <w:t xml:space="preserve"> přidán chodník o šíře 1, 5. Komunikace bude 2,75m široká. Po pravé straně komunikace dojde k vybudování pásu šíře 0,45 s kačírkem. Tento pruh je zde, aby nedošlo k poškození betonové zídky nad ním.</w:t>
      </w:r>
    </w:p>
    <w:p w14:paraId="3773F71D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</w:rPr>
      </w:pPr>
    </w:p>
    <w:p w14:paraId="76DBECC6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sjezdů:</w:t>
      </w:r>
    </w:p>
    <w:p w14:paraId="6E174E94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0F2E7E47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05AF1CAC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29EBB2C6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523629EC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02F33454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472B3C14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60ACA2A2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59E809C0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parkoviště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35CAEFFB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456532DF" w14:textId="068C232C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.</w:t>
      </w:r>
    </w:p>
    <w:p w14:paraId="053559A3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</w:rPr>
      </w:pPr>
    </w:p>
    <w:p w14:paraId="565D61D0" w14:textId="77777777" w:rsidR="003E69D2" w:rsidRDefault="003E69D2" w:rsidP="003E69D2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577E495E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22D18F11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5C6A3293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71232277" w14:textId="77777777" w:rsidR="003E69D2" w:rsidRDefault="003E69D2" w:rsidP="003E69D2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6BEE331A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2C2B60A9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150x250/150x1000 mm. Obrubníky jsou uloženy do betonového lože C30/37 tl. 100.</w:t>
      </w:r>
    </w:p>
    <w:p w14:paraId="172802BF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74FE1A92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</w:p>
    <w:p w14:paraId="534E544A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nepojížděného chodníku:</w:t>
      </w:r>
    </w:p>
    <w:p w14:paraId="7F048175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6AE758E4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484A188A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5D9C4DC2" w14:textId="77777777" w:rsidR="003E69D2" w:rsidRDefault="003E69D2" w:rsidP="003E69D2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505FED55" w14:textId="77777777" w:rsidR="003E69D2" w:rsidRDefault="003E69D2" w:rsidP="003E69D2">
      <w:pPr>
        <w:pStyle w:val="Standard"/>
        <w:numPr>
          <w:ilvl w:val="0"/>
          <w:numId w:val="18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0149A8C7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lastRenderedPageBreak/>
        <w:t xml:space="preserve">Min. hodnota modulu přetvárnosti na pláni (na aktivní zóně)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=30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na vrstvě ŠD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=50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. V případě neúnosnosti zemní pláně je nutnost provést výměnu podloží vrstvou z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nenamrzavého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nesoudržného a propustného materiálu v tloušťce 0,50 m (například štěrkodrtí 0/63).  </w:t>
      </w:r>
    </w:p>
    <w:p w14:paraId="01DC83E2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3BC2150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6356BF7B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11FCB2D7" w14:textId="77777777" w:rsidR="003E69D2" w:rsidRDefault="003E69D2" w:rsidP="003E69D2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2665A4B8" w:rsidR="00F4683A" w:rsidRPr="009F7DD6" w:rsidRDefault="003E69D2" w:rsidP="003E69D2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 xml:space="preserve">Spáry musí splňovat požadavky definované ČSN 73 6131, výplň se doporučuje vmetením jemného křemičitého písku s následným 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přehutněním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 dlažby</w:t>
      </w:r>
      <w:r w:rsidR="00126A71">
        <w:rPr>
          <w:rFonts w:ascii="Arial" w:eastAsia="Arial" w:hAnsi="Arial" w:cs="Arial"/>
          <w:shd w:val="clear" w:color="auto" w:fill="FFFFFF"/>
          <w:lang w:eastAsia="zh-CN"/>
        </w:rPr>
        <w:t>.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režim povrchových a podzemních vod, zásady odvodnění, ochrana pozemní komunikace,</w:t>
      </w:r>
    </w:p>
    <w:p w14:paraId="67AAD059" w14:textId="6ABC7EC1" w:rsidR="00A51127" w:rsidRDefault="00A51127" w:rsidP="003E69D2">
      <w:pPr>
        <w:pStyle w:val="Standard"/>
      </w:pPr>
      <w:r>
        <w:rPr>
          <w:rFonts w:ascii="Arial" w:hAnsi="Arial" w:cs="Arial"/>
          <w:color w:val="000000"/>
          <w:szCs w:val="20"/>
        </w:rPr>
        <w:t>Povrchová dešťová voda je z rekonstruovaných povrchů svedena příčným a podélným spádem do stávajících uličních vpustí</w:t>
      </w:r>
    </w:p>
    <w:p w14:paraId="3A8F43E2" w14:textId="1F07C69E" w:rsidR="00CF1E20" w:rsidRDefault="00A51127" w:rsidP="00A51127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>K navýšení množství dešťových vod nedojde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45306055" w14:textId="77777777" w:rsidR="003E69D2" w:rsidRDefault="003E69D2" w:rsidP="00A51127">
      <w:pPr>
        <w:jc w:val="both"/>
        <w:rPr>
          <w:rFonts w:ascii="Arial" w:hAnsi="Arial" w:cs="Arial"/>
        </w:rPr>
      </w:pPr>
    </w:p>
    <w:p w14:paraId="3B1B216D" w14:textId="2CAB5D8B" w:rsidR="00A51127" w:rsidRDefault="00A51127" w:rsidP="00A511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1ADE2EFD" w14:textId="69B5C0F6" w:rsidR="00A51127" w:rsidRDefault="003E69D2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bookmarkStart w:id="4" w:name="_Hlk138754751"/>
      <w:r>
        <w:rPr>
          <w:rFonts w:ascii="Arial" w:hAnsi="Arial" w:cs="Arial"/>
        </w:rPr>
        <w:t>1</w:t>
      </w:r>
      <w:r w:rsidR="00A51127">
        <w:rPr>
          <w:rFonts w:ascii="Arial" w:hAnsi="Arial" w:cs="Arial"/>
        </w:rPr>
        <w:t xml:space="preserve"> </w:t>
      </w:r>
      <w:r w:rsidR="00A51127">
        <w:rPr>
          <w:rFonts w:ascii="Arial" w:hAnsi="Arial" w:cs="Arial"/>
        </w:rPr>
        <w:t>x B2 „Zákaz vjezdu všech vozidel“</w:t>
      </w:r>
      <w:bookmarkEnd w:id="4"/>
    </w:p>
    <w:p w14:paraId="58BD51F6" w14:textId="4FCCCF5E" w:rsidR="00A51127" w:rsidRDefault="003E69D2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bookmarkStart w:id="5" w:name="_Hlk138754779"/>
      <w:r>
        <w:rPr>
          <w:rFonts w:ascii="Arial" w:hAnsi="Arial" w:cs="Arial"/>
        </w:rPr>
        <w:t>1</w:t>
      </w:r>
      <w:r w:rsidR="00A51127">
        <w:rPr>
          <w:rFonts w:ascii="Arial" w:hAnsi="Arial" w:cs="Arial"/>
        </w:rPr>
        <w:t xml:space="preserve"> </w:t>
      </w:r>
      <w:proofErr w:type="spellStart"/>
      <w:r w:rsidR="00A51127">
        <w:rPr>
          <w:rFonts w:ascii="Arial" w:hAnsi="Arial" w:cs="Arial"/>
        </w:rPr>
        <w:t>xIP</w:t>
      </w:r>
      <w:proofErr w:type="spellEnd"/>
      <w:r w:rsidR="00A51127">
        <w:rPr>
          <w:rFonts w:ascii="Arial" w:hAnsi="Arial" w:cs="Arial"/>
        </w:rPr>
        <w:t xml:space="preserve"> </w:t>
      </w:r>
      <w:proofErr w:type="gramStart"/>
      <w:r w:rsidR="00A51127">
        <w:rPr>
          <w:rFonts w:ascii="Arial" w:hAnsi="Arial" w:cs="Arial"/>
        </w:rPr>
        <w:t>4b</w:t>
      </w:r>
      <w:proofErr w:type="gramEnd"/>
      <w:r w:rsidR="00A51127">
        <w:rPr>
          <w:rFonts w:ascii="Arial" w:hAnsi="Arial" w:cs="Arial"/>
        </w:rPr>
        <w:t xml:space="preserve"> „Jednosměrný provoz</w:t>
      </w:r>
      <w:bookmarkEnd w:id="5"/>
      <w:r w:rsidR="00A51127">
        <w:rPr>
          <w:rFonts w:ascii="Arial" w:hAnsi="Arial" w:cs="Arial"/>
        </w:rPr>
        <w:t>“</w:t>
      </w:r>
    </w:p>
    <w:p w14:paraId="113074F5" w14:textId="77777777" w:rsidR="00A51127" w:rsidRDefault="00A51127" w:rsidP="00A51127">
      <w:pPr>
        <w:pStyle w:val="Odstavecseseznamem"/>
        <w:autoSpaceDN w:val="0"/>
        <w:spacing w:after="160"/>
        <w:ind w:left="720"/>
        <w:contextualSpacing/>
        <w:rPr>
          <w:rFonts w:ascii="Arial" w:hAnsi="Arial" w:cs="Arial"/>
        </w:rPr>
      </w:pP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4A6B68D1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 xml:space="preserve">říjezd a přístup na staveniště bude z ulice </w:t>
      </w:r>
      <w:r w:rsidR="00A51127">
        <w:rPr>
          <w:rFonts w:ascii="Arial" w:hAnsi="Arial" w:cs="Arial"/>
        </w:rPr>
        <w:t>Školní</w:t>
      </w:r>
      <w:r w:rsidR="00C27181">
        <w:rPr>
          <w:rFonts w:ascii="Arial" w:hAnsi="Arial" w:cs="Arial"/>
        </w:rPr>
        <w:t>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musí zajistit příjezd i havarijním a zásahovým </w:t>
      </w:r>
      <w:proofErr w:type="gramStart"/>
      <w:r>
        <w:rPr>
          <w:rFonts w:ascii="Arial" w:hAnsi="Arial" w:cs="Arial"/>
        </w:rPr>
        <w:t>vozidlům - sanitky</w:t>
      </w:r>
      <w:proofErr w:type="gramEnd"/>
      <w:r>
        <w:rPr>
          <w:rFonts w:ascii="Arial" w:hAnsi="Arial" w:cs="Arial"/>
        </w:rPr>
        <w:t>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81B9C" w14:textId="77777777" w:rsidR="0064230D" w:rsidRDefault="0064230D" w:rsidP="00C82B0F">
      <w:r>
        <w:separator/>
      </w:r>
    </w:p>
  </w:endnote>
  <w:endnote w:type="continuationSeparator" w:id="0">
    <w:p w14:paraId="232E6851" w14:textId="77777777" w:rsidR="0064230D" w:rsidRDefault="0064230D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B3FE8" w14:textId="77777777" w:rsidR="0064230D" w:rsidRDefault="0064230D" w:rsidP="00C82B0F">
      <w:r>
        <w:separator/>
      </w:r>
    </w:p>
  </w:footnote>
  <w:footnote w:type="continuationSeparator" w:id="0">
    <w:p w14:paraId="108B608F" w14:textId="77777777" w:rsidR="0064230D" w:rsidRDefault="0064230D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10D55E46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„Rekonstrukce chodníků </w:t>
          </w:r>
          <w:proofErr w:type="gramStart"/>
          <w:r w:rsidRPr="00D03FE2">
            <w:rPr>
              <w:rFonts w:ascii="Arial" w:hAnsi="Arial" w:cs="Arial"/>
              <w:color w:val="000000"/>
              <w:sz w:val="19"/>
              <w:szCs w:val="19"/>
            </w:rPr>
            <w:t>Jablunkov - centrum</w:t>
          </w:r>
          <w:proofErr w:type="gramEnd"/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</w:t>
          </w:r>
          <w:r w:rsidR="003E69D2">
            <w:rPr>
              <w:rFonts w:ascii="Arial" w:hAnsi="Arial" w:cs="Arial"/>
              <w:color w:val="000000"/>
              <w:sz w:val="19"/>
              <w:szCs w:val="19"/>
            </w:rPr>
            <w:t>6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Ulice </w:t>
          </w:r>
          <w:r w:rsidR="003E69D2">
            <w:rPr>
              <w:rFonts w:ascii="Arial" w:hAnsi="Arial" w:cs="Arial"/>
              <w:color w:val="000000"/>
              <w:sz w:val="19"/>
              <w:szCs w:val="19"/>
            </w:rPr>
            <w:t>Lipová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C77FC5"/>
    <w:multiLevelType w:val="multilevel"/>
    <w:tmpl w:val="0CA0CA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B436D"/>
    <w:multiLevelType w:val="multilevel"/>
    <w:tmpl w:val="EC4EF2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282846"/>
    <w:multiLevelType w:val="multilevel"/>
    <w:tmpl w:val="9438C6E0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5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7"/>
  </w:num>
  <w:num w:numId="5" w16cid:durableId="1734738633">
    <w:abstractNumId w:val="8"/>
  </w:num>
  <w:num w:numId="6" w16cid:durableId="211580814">
    <w:abstractNumId w:val="10"/>
  </w:num>
  <w:num w:numId="7" w16cid:durableId="2095972917">
    <w:abstractNumId w:val="13"/>
  </w:num>
  <w:num w:numId="8" w16cid:durableId="1914389879">
    <w:abstractNumId w:val="3"/>
  </w:num>
  <w:num w:numId="9" w16cid:durableId="1203791067">
    <w:abstractNumId w:val="9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4"/>
  </w:num>
  <w:num w:numId="13" w16cid:durableId="200437791">
    <w:abstractNumId w:val="11"/>
  </w:num>
  <w:num w:numId="14" w16cid:durableId="777602402">
    <w:abstractNumId w:val="12"/>
  </w:num>
  <w:num w:numId="15" w16cid:durableId="194194803">
    <w:abstractNumId w:val="0"/>
  </w:num>
  <w:num w:numId="16" w16cid:durableId="1831091540">
    <w:abstractNumId w:val="5"/>
  </w:num>
  <w:num w:numId="17" w16cid:durableId="322658250">
    <w:abstractNumId w:val="16"/>
  </w:num>
  <w:num w:numId="18" w16cid:durableId="353115023">
    <w:abstractNumId w:val="6"/>
  </w:num>
  <w:num w:numId="19" w16cid:durableId="20719225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0B5B5C"/>
    <w:rsid w:val="00126A71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10F9"/>
    <w:rsid w:val="003032FE"/>
    <w:rsid w:val="003054ED"/>
    <w:rsid w:val="00316CD5"/>
    <w:rsid w:val="00320BB8"/>
    <w:rsid w:val="0034124F"/>
    <w:rsid w:val="00383862"/>
    <w:rsid w:val="0039511F"/>
    <w:rsid w:val="003A0126"/>
    <w:rsid w:val="003B06BC"/>
    <w:rsid w:val="003E5D7A"/>
    <w:rsid w:val="003E69D2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715C1"/>
    <w:rsid w:val="005A101C"/>
    <w:rsid w:val="005B3234"/>
    <w:rsid w:val="0064230D"/>
    <w:rsid w:val="0066710E"/>
    <w:rsid w:val="00691FD3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350B2"/>
    <w:rsid w:val="00747522"/>
    <w:rsid w:val="007524A4"/>
    <w:rsid w:val="00765F84"/>
    <w:rsid w:val="007767A7"/>
    <w:rsid w:val="007861B4"/>
    <w:rsid w:val="007D692E"/>
    <w:rsid w:val="007E2ED5"/>
    <w:rsid w:val="007F5019"/>
    <w:rsid w:val="00834CCA"/>
    <w:rsid w:val="00844FE7"/>
    <w:rsid w:val="0086716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A20C3F"/>
    <w:rsid w:val="00A43399"/>
    <w:rsid w:val="00A51127"/>
    <w:rsid w:val="00A52DCD"/>
    <w:rsid w:val="00A90DFA"/>
    <w:rsid w:val="00AC1958"/>
    <w:rsid w:val="00AD5A3F"/>
    <w:rsid w:val="00AE74F7"/>
    <w:rsid w:val="00B016DE"/>
    <w:rsid w:val="00B03529"/>
    <w:rsid w:val="00B2485A"/>
    <w:rsid w:val="00B31586"/>
    <w:rsid w:val="00B36A62"/>
    <w:rsid w:val="00B74055"/>
    <w:rsid w:val="00B74BE3"/>
    <w:rsid w:val="00BB0B40"/>
    <w:rsid w:val="00BB0E64"/>
    <w:rsid w:val="00BC684C"/>
    <w:rsid w:val="00BD3939"/>
    <w:rsid w:val="00C05A10"/>
    <w:rsid w:val="00C07259"/>
    <w:rsid w:val="00C27181"/>
    <w:rsid w:val="00C53BE2"/>
    <w:rsid w:val="00C7317E"/>
    <w:rsid w:val="00C73B6A"/>
    <w:rsid w:val="00C80BDC"/>
    <w:rsid w:val="00C82B0F"/>
    <w:rsid w:val="00C90F22"/>
    <w:rsid w:val="00C9266C"/>
    <w:rsid w:val="00C959AC"/>
    <w:rsid w:val="00CA207A"/>
    <w:rsid w:val="00CA7E51"/>
    <w:rsid w:val="00CD54F9"/>
    <w:rsid w:val="00CE589C"/>
    <w:rsid w:val="00CF0876"/>
    <w:rsid w:val="00CF1E20"/>
    <w:rsid w:val="00CF7E32"/>
    <w:rsid w:val="00D03FE2"/>
    <w:rsid w:val="00D31B9E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7</TotalTime>
  <Pages>6</Pages>
  <Words>1315</Words>
  <Characters>7763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2023-06-27T08:53:00Z</cp:lastPrinted>
  <dcterms:created xsi:type="dcterms:W3CDTF">2023-06-27T08:53:00Z</dcterms:created>
  <dcterms:modified xsi:type="dcterms:W3CDTF">2023-06-27T09:02:00Z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